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54E2" w14:textId="108A3A2D" w:rsidR="000676B8" w:rsidRPr="000676B8" w:rsidRDefault="004F2B16" w:rsidP="000676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Ekstraordinær generalforsamling</w:t>
      </w:r>
    </w:p>
    <w:p w14:paraId="24D2F5B9" w14:textId="624E7783" w:rsidR="000676B8" w:rsidRPr="000676B8" w:rsidRDefault="0073198C" w:rsidP="000676B8">
      <w:pPr>
        <w:jc w:val="center"/>
        <w:rPr>
          <w:b/>
          <w:bCs/>
        </w:rPr>
      </w:pPr>
      <w:r>
        <w:rPr>
          <w:b/>
          <w:bCs/>
        </w:rPr>
        <w:t>Tirsdag d.</w:t>
      </w:r>
      <w:r w:rsidR="000676B8" w:rsidRPr="000676B8">
        <w:rPr>
          <w:b/>
          <w:bCs/>
        </w:rPr>
        <w:t xml:space="preserve"> </w:t>
      </w:r>
      <w:r w:rsidR="004F2B16">
        <w:rPr>
          <w:b/>
          <w:bCs/>
        </w:rPr>
        <w:t>14. marts</w:t>
      </w:r>
      <w:r w:rsidR="000676B8" w:rsidRPr="000676B8">
        <w:rPr>
          <w:b/>
          <w:bCs/>
        </w:rPr>
        <w:t>, 202</w:t>
      </w:r>
      <w:r w:rsidR="00EF61A9">
        <w:rPr>
          <w:b/>
          <w:bCs/>
        </w:rPr>
        <w:t>4</w:t>
      </w:r>
      <w:r w:rsidR="004F2B16">
        <w:rPr>
          <w:b/>
          <w:bCs/>
        </w:rPr>
        <w:t>, kl</w:t>
      </w:r>
      <w:r w:rsidR="00237648">
        <w:rPr>
          <w:b/>
          <w:bCs/>
        </w:rPr>
        <w:t>.</w:t>
      </w:r>
      <w:r w:rsidR="004F2B16">
        <w:rPr>
          <w:b/>
          <w:bCs/>
        </w:rPr>
        <w:t xml:space="preserve"> 19</w:t>
      </w:r>
    </w:p>
    <w:p w14:paraId="09D3BA9B" w14:textId="2EA7763F" w:rsidR="00150C52" w:rsidRPr="004F2B16" w:rsidRDefault="000676B8" w:rsidP="000676B8">
      <w:pPr>
        <w:jc w:val="center"/>
        <w:rPr>
          <w:lang w:val="en-US"/>
        </w:rPr>
      </w:pPr>
      <w:r w:rsidRPr="009C5DD4">
        <w:rPr>
          <w:b/>
          <w:bCs/>
        </w:rPr>
        <w:t>Deltagere:</w:t>
      </w:r>
      <w:r w:rsidRPr="009C5DD4">
        <w:t xml:space="preserve"> John, Alexand</w:t>
      </w:r>
      <w:r w:rsidRPr="004F2B16">
        <w:rPr>
          <w:lang w:val="en-US"/>
        </w:rPr>
        <w:t>er, Philip</w:t>
      </w:r>
      <w:r w:rsidR="0073198C" w:rsidRPr="004F2B16">
        <w:rPr>
          <w:lang w:val="en-US"/>
        </w:rPr>
        <w:t xml:space="preserve">, Sus, </w:t>
      </w:r>
      <w:r w:rsidR="004F2B16" w:rsidRPr="004F2B16">
        <w:rPr>
          <w:lang w:val="en-US"/>
        </w:rPr>
        <w:t xml:space="preserve">Bo, </w:t>
      </w:r>
      <w:r w:rsidR="00CD2DD1">
        <w:rPr>
          <w:lang w:val="en-US"/>
        </w:rPr>
        <w:t>K</w:t>
      </w:r>
      <w:r w:rsidR="004F2B16" w:rsidRPr="004F2B16">
        <w:rPr>
          <w:lang w:val="en-US"/>
        </w:rPr>
        <w:t>ris</w:t>
      </w:r>
      <w:r w:rsidR="004F2B16">
        <w:rPr>
          <w:lang w:val="en-US"/>
        </w:rPr>
        <w:t>tian</w:t>
      </w:r>
      <w:r w:rsidR="00237648">
        <w:rPr>
          <w:lang w:val="en-US"/>
        </w:rPr>
        <w:t>, Henning</w:t>
      </w:r>
    </w:p>
    <w:p w14:paraId="4257E911" w14:textId="41950F83" w:rsidR="000676B8" w:rsidRPr="004F2B16" w:rsidRDefault="000676B8" w:rsidP="006D56F4">
      <w:pPr>
        <w:rPr>
          <w:lang w:val="en-US"/>
        </w:rPr>
      </w:pPr>
    </w:p>
    <w:tbl>
      <w:tblPr>
        <w:tblStyle w:val="GridTable6Colorful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95"/>
        <w:gridCol w:w="5924"/>
        <w:gridCol w:w="1409"/>
      </w:tblGrid>
      <w:tr w:rsidR="000676B8" w14:paraId="5FAE7C55" w14:textId="77777777" w:rsidTr="007B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1D223DA2" w14:textId="1C5A1C05" w:rsidR="000676B8" w:rsidRDefault="000676B8" w:rsidP="006D56F4">
            <w:r>
              <w:t>Punkt</w:t>
            </w:r>
          </w:p>
        </w:tc>
        <w:tc>
          <w:tcPr>
            <w:tcW w:w="5924" w:type="dxa"/>
          </w:tcPr>
          <w:p w14:paraId="45A32F51" w14:textId="599A18EF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09" w:type="dxa"/>
          </w:tcPr>
          <w:p w14:paraId="205B0A7F" w14:textId="5CAB35F1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0676B8" w14:paraId="3D11D42A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3E4ACAF" w14:textId="0478A8B0" w:rsidR="000676B8" w:rsidRPr="00DD5B36" w:rsidRDefault="004F2B16" w:rsidP="006D56F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Valg af referent</w:t>
            </w:r>
          </w:p>
        </w:tc>
        <w:tc>
          <w:tcPr>
            <w:tcW w:w="5924" w:type="dxa"/>
          </w:tcPr>
          <w:p w14:paraId="7CC6437D" w14:textId="77777777" w:rsidR="003872E3" w:rsidRDefault="00237648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Philip blev valgt som referent</w:t>
            </w:r>
          </w:p>
          <w:p w14:paraId="7E61106F" w14:textId="77777777" w:rsidR="00237648" w:rsidRDefault="00237648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C18D51" w14:textId="2BD72F4F" w:rsidR="00237648" w:rsidRDefault="00237648" w:rsidP="009C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14:paraId="3A572ACD" w14:textId="7AF8E3AD" w:rsidR="000676B8" w:rsidRDefault="00237648" w:rsidP="006D5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Philip</w:t>
            </w:r>
          </w:p>
        </w:tc>
      </w:tr>
      <w:tr w:rsidR="004F2B16" w14:paraId="21338662" w14:textId="77777777" w:rsidTr="007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90F9099" w14:textId="17488AFB" w:rsidR="004F2B16" w:rsidRDefault="004F2B16" w:rsidP="006D56F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Justering af dagsorden</w:t>
            </w:r>
          </w:p>
        </w:tc>
        <w:tc>
          <w:tcPr>
            <w:tcW w:w="5924" w:type="dxa"/>
          </w:tcPr>
          <w:p w14:paraId="752B0CB4" w14:textId="537EEB36" w:rsidR="004F2B16" w:rsidRDefault="00E31E17" w:rsidP="00E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var ingen justeringer</w:t>
            </w:r>
            <w:r w:rsidR="00DD2272">
              <w:t xml:space="preserve"> til dagsordenen.</w:t>
            </w:r>
          </w:p>
        </w:tc>
        <w:tc>
          <w:tcPr>
            <w:tcW w:w="1409" w:type="dxa"/>
          </w:tcPr>
          <w:p w14:paraId="0F934E67" w14:textId="471248E3" w:rsidR="004F2B16" w:rsidRDefault="00DD2272" w:rsidP="006D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4F2B16" w14:paraId="5BFD5959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21359314" w14:textId="4AFA968B" w:rsidR="004F2B16" w:rsidRDefault="004F2B16" w:rsidP="006D56F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Godkendelse af vedtægtsændringer</w:t>
            </w:r>
          </w:p>
        </w:tc>
        <w:tc>
          <w:tcPr>
            <w:tcW w:w="5924" w:type="dxa"/>
          </w:tcPr>
          <w:p w14:paraId="20890CB8" w14:textId="72DCEC72" w:rsidR="009C5DD4" w:rsidRDefault="009C5DD4" w:rsidP="009C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Alexander ridsede årsagen til mødet om – en </w:t>
            </w:r>
            <w:r w:rsidR="00394167">
              <w:t xml:space="preserve">række </w:t>
            </w:r>
            <w:r>
              <w:t>vedtægtsændring</w:t>
            </w:r>
            <w:r w:rsidR="00394167">
              <w:t>er</w:t>
            </w:r>
            <w:r>
              <w:t>. En af grundene er</w:t>
            </w:r>
            <w:r>
              <w:t xml:space="preserve">, vi på sigt kan lægge regnskab for hyttestyrelsen og forældreforeningen ind under samme </w:t>
            </w:r>
            <w:r>
              <w:t>CVR-nummer</w:t>
            </w:r>
            <w:r>
              <w:t>. Planen var at have separate konti, men det skal undersøges</w:t>
            </w:r>
            <w:r>
              <w:t>, hvor meget der kan spares ved at have på samme konto. Det årlige antal af posteringer er for både styrelsen og foreningen er begrænset.</w:t>
            </w:r>
          </w:p>
          <w:p w14:paraId="7F62CAD9" w14:textId="77777777" w:rsidR="004F2B16" w:rsidRDefault="009C5DD4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Henning gjorde opmærksom på, at den korrekte procedure for godkendelse af betalinger er, at to personer skal være inde over hver enkelt godkendelse.</w:t>
            </w:r>
          </w:p>
          <w:p w14:paraId="66C8AD6D" w14:textId="77777777" w:rsidR="009C5DD4" w:rsidRDefault="009C5DD4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9F0CD" w14:textId="77777777" w:rsidR="009C5DD4" w:rsidRDefault="009C5DD4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Alexander gennemgik de foreslåede ændringer. </w:t>
            </w:r>
            <w:r w:rsidR="00394167">
              <w:t>De reviderede vedtægter følger på næste side.</w:t>
            </w:r>
          </w:p>
          <w:p w14:paraId="38BCE647" w14:textId="77777777" w:rsidR="00394167" w:rsidRDefault="00394167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02B3A1" w14:textId="140840F4" w:rsidR="00394167" w:rsidRDefault="00394167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 stillede spørgsmål ved, hvorfor det står eksplicit, at ledere kan deltage i mødet (Punkt 4.1). Med den formulering udelukkes andre fra at deltage. Punktet blev diskuteret, og det blev ved</w:t>
            </w:r>
            <w:r w:rsidR="00E31E17">
              <w:t xml:space="preserve"> vedtaget at ændre punkt 4.1 til:</w:t>
            </w:r>
          </w:p>
          <w:p w14:paraId="39E5FD0F" w14:textId="77777777" w:rsidR="00E31E17" w:rsidRDefault="00E31E17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”Forældre og andre interesserede, der ønsker at deltage ved møderne, kan deltage som observatører.”</w:t>
            </w:r>
          </w:p>
          <w:p w14:paraId="797E8893" w14:textId="7246E898" w:rsidR="00524860" w:rsidRDefault="00524860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besluttes, at bestyrelsen kan vælges blandt andet end foreningens medlemmer. Derfor ændres første sætning i punkt 3 til:</w:t>
            </w:r>
          </w:p>
          <w:p w14:paraId="56E1C750" w14:textId="77777777" w:rsidR="00524860" w:rsidRDefault="00524860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”Foreningen ledes af en bestyrelse på mellem 5 og 7 medlemmer, hvoraf de 4 til 6 medlemmer vælges af foreningens medlemmer på den årlige generalforsamling, som afholdes i januar.”</w:t>
            </w:r>
          </w:p>
          <w:p w14:paraId="062E4D64" w14:textId="77777777" w:rsidR="00484938" w:rsidRDefault="00484938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8182C" w14:textId="0C9A7C9B" w:rsidR="00484938" w:rsidRDefault="00484938" w:rsidP="00EF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Vedtægterne blev vedtaget enstemmigt.</w:t>
            </w:r>
          </w:p>
        </w:tc>
        <w:tc>
          <w:tcPr>
            <w:tcW w:w="1409" w:type="dxa"/>
          </w:tcPr>
          <w:p w14:paraId="11A4026A" w14:textId="7DB446C2" w:rsidR="004F2B16" w:rsidRDefault="00E31E17" w:rsidP="006D5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  <w:tr w:rsidR="004F2B16" w14:paraId="1210D057" w14:textId="77777777" w:rsidTr="007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7F5A288E" w14:textId="1553CD60" w:rsidR="004F2B16" w:rsidRDefault="004F2B16" w:rsidP="006D56F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Evt.</w:t>
            </w:r>
          </w:p>
        </w:tc>
        <w:tc>
          <w:tcPr>
            <w:tcW w:w="5924" w:type="dxa"/>
          </w:tcPr>
          <w:p w14:paraId="40D2BC9B" w14:textId="74771925" w:rsidR="00484938" w:rsidRDefault="00484938" w:rsidP="00E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 næste møde samles der op på alt papirarbejdet. Datoen bliver onsdag d. 22. marts, kl. 19:00.</w:t>
            </w:r>
          </w:p>
        </w:tc>
        <w:tc>
          <w:tcPr>
            <w:tcW w:w="1409" w:type="dxa"/>
          </w:tcPr>
          <w:p w14:paraId="6F9A6B3C" w14:textId="786AF2FD" w:rsidR="004F2B16" w:rsidRDefault="00484938" w:rsidP="006D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i bestyrelsen</w:t>
            </w:r>
          </w:p>
        </w:tc>
      </w:tr>
    </w:tbl>
    <w:p w14:paraId="0E80E25E" w14:textId="77777777" w:rsidR="000676B8" w:rsidRDefault="000676B8" w:rsidP="006D56F4"/>
    <w:p w14:paraId="20BBF2E7" w14:textId="4A1C685A" w:rsidR="000676B8" w:rsidRPr="006D56F4" w:rsidRDefault="000676B8" w:rsidP="00EB4B64"/>
    <w:sectPr w:rsidR="000676B8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2D77" w14:textId="77777777" w:rsidR="00A1365E" w:rsidRDefault="00A1365E" w:rsidP="00115E35">
      <w:pPr>
        <w:spacing w:after="0" w:line="240" w:lineRule="auto"/>
      </w:pPr>
      <w:r>
        <w:separator/>
      </w:r>
    </w:p>
  </w:endnote>
  <w:endnote w:type="continuationSeparator" w:id="0">
    <w:p w14:paraId="5D400CF8" w14:textId="77777777" w:rsidR="00A1365E" w:rsidRDefault="00A1365E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0564" w14:textId="77777777" w:rsidR="00A1365E" w:rsidRDefault="00A1365E" w:rsidP="00115E35">
      <w:pPr>
        <w:spacing w:after="0" w:line="240" w:lineRule="auto"/>
      </w:pPr>
      <w:r>
        <w:separator/>
      </w:r>
    </w:p>
  </w:footnote>
  <w:footnote w:type="continuationSeparator" w:id="0">
    <w:p w14:paraId="42F6F8CF" w14:textId="77777777" w:rsidR="00A1365E" w:rsidRDefault="00A1365E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83DA0"/>
    <w:multiLevelType w:val="hybridMultilevel"/>
    <w:tmpl w:val="3BAA444C"/>
    <w:lvl w:ilvl="0" w:tplc="0248F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8"/>
    <w:rsid w:val="00005304"/>
    <w:rsid w:val="00033327"/>
    <w:rsid w:val="0003486B"/>
    <w:rsid w:val="000676B8"/>
    <w:rsid w:val="000D063C"/>
    <w:rsid w:val="00115E35"/>
    <w:rsid w:val="00174AE2"/>
    <w:rsid w:val="001C2F62"/>
    <w:rsid w:val="00237648"/>
    <w:rsid w:val="002A1263"/>
    <w:rsid w:val="002E11E6"/>
    <w:rsid w:val="003872B8"/>
    <w:rsid w:val="003872E3"/>
    <w:rsid w:val="00394167"/>
    <w:rsid w:val="003A2A84"/>
    <w:rsid w:val="003A61F3"/>
    <w:rsid w:val="003C3083"/>
    <w:rsid w:val="00484938"/>
    <w:rsid w:val="00496BD5"/>
    <w:rsid w:val="004F2B16"/>
    <w:rsid w:val="005039D1"/>
    <w:rsid w:val="005137B2"/>
    <w:rsid w:val="00524860"/>
    <w:rsid w:val="005759DB"/>
    <w:rsid w:val="00585950"/>
    <w:rsid w:val="00590BB4"/>
    <w:rsid w:val="006138C1"/>
    <w:rsid w:val="00691EDE"/>
    <w:rsid w:val="00693B21"/>
    <w:rsid w:val="006A062D"/>
    <w:rsid w:val="006B3847"/>
    <w:rsid w:val="006D0575"/>
    <w:rsid w:val="006D56F4"/>
    <w:rsid w:val="007104E8"/>
    <w:rsid w:val="0073198C"/>
    <w:rsid w:val="007B0B7C"/>
    <w:rsid w:val="007C3132"/>
    <w:rsid w:val="0082193C"/>
    <w:rsid w:val="00882874"/>
    <w:rsid w:val="008B789A"/>
    <w:rsid w:val="00931E05"/>
    <w:rsid w:val="00977B54"/>
    <w:rsid w:val="009C5DD4"/>
    <w:rsid w:val="00A1365E"/>
    <w:rsid w:val="00A72CF2"/>
    <w:rsid w:val="00AA52A4"/>
    <w:rsid w:val="00BD40B2"/>
    <w:rsid w:val="00BE32A1"/>
    <w:rsid w:val="00CD2DD1"/>
    <w:rsid w:val="00D53964"/>
    <w:rsid w:val="00D568CA"/>
    <w:rsid w:val="00D65F08"/>
    <w:rsid w:val="00DD2272"/>
    <w:rsid w:val="00DD5B36"/>
    <w:rsid w:val="00E31E17"/>
    <w:rsid w:val="00E87314"/>
    <w:rsid w:val="00E9195D"/>
    <w:rsid w:val="00EA2C1E"/>
    <w:rsid w:val="00EB4B64"/>
    <w:rsid w:val="00EE1CD7"/>
    <w:rsid w:val="00EF572D"/>
    <w:rsid w:val="00EF61A9"/>
    <w:rsid w:val="00F2719A"/>
    <w:rsid w:val="00F37B9C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80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leGrid">
    <w:name w:val="Table Grid"/>
    <w:basedOn w:val="TableNormal"/>
    <w:uiPriority w:val="39"/>
    <w:rsid w:val="0006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31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ha\AppData\Local\Temp\1\Templafy\WordVsto\brqwrfxx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brqwrfxx.dotx</Template>
  <TotalTime>0</TotalTime>
  <Pages>1</Pages>
  <Words>245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2023-03-14T17:58:00Z</dcterms:created>
  <dcterms:modified xsi:type="dcterms:W3CDTF">2023-03-14T18:59:00Z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637830413967796651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